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2D3B28" w:rsidRDefault="002D3B28" w:rsidP="00832AD7">
      <w:pPr>
        <w:spacing w:after="0" w:line="240" w:lineRule="auto"/>
        <w:jc w:val="right"/>
        <w:rPr>
          <w:rFonts w:ascii="Times New Roman" w:eastAsia="Times New Roman" w:hAnsi="Times New Roman" w:cs="David"/>
          <w:sz w:val="16"/>
          <w:szCs w:val="16"/>
          <w:rtl/>
        </w:rPr>
      </w:pPr>
      <w:r>
        <w:rPr>
          <w:rFonts w:ascii="Times New Roman" w:eastAsia="Times New Roman" w:hAnsi="Times New Roman" w:cs="David"/>
          <w:sz w:val="16"/>
          <w:szCs w:val="16"/>
          <w:rtl/>
        </w:rPr>
        <w:fldChar w:fldCharType="begin"/>
      </w:r>
      <w:r>
        <w:rPr>
          <w:rFonts w:ascii="Times New Roman" w:eastAsia="Times New Roman" w:hAnsi="Times New Roman" w:cs="David"/>
          <w:sz w:val="16"/>
          <w:szCs w:val="16"/>
          <w:rtl/>
        </w:rPr>
        <w:instrText xml:space="preserve"> </w:instrText>
      </w:r>
      <w:r>
        <w:rPr>
          <w:rFonts w:ascii="Times New Roman" w:eastAsia="Times New Roman" w:hAnsi="Times New Roman" w:cs="David" w:hint="cs"/>
          <w:sz w:val="16"/>
          <w:szCs w:val="16"/>
        </w:rPr>
        <w:instrText>DATE</w:instrText>
      </w:r>
      <w:r>
        <w:rPr>
          <w:rFonts w:ascii="Times New Roman" w:eastAsia="Times New Roman" w:hAnsi="Times New Roman" w:cs="David" w:hint="cs"/>
          <w:sz w:val="16"/>
          <w:szCs w:val="16"/>
          <w:rtl/>
        </w:rPr>
        <w:instrText xml:space="preserve"> \@ "</w:instrText>
      </w:r>
      <w:r>
        <w:rPr>
          <w:rFonts w:ascii="Times New Roman" w:eastAsia="Times New Roman" w:hAnsi="Times New Roman" w:cs="David" w:hint="cs"/>
          <w:sz w:val="16"/>
          <w:szCs w:val="16"/>
        </w:rPr>
        <w:instrText>dd MMMM yyyy</w:instrText>
      </w:r>
      <w:r>
        <w:rPr>
          <w:rFonts w:ascii="Times New Roman" w:eastAsia="Times New Roman" w:hAnsi="Times New Roman" w:cs="David" w:hint="cs"/>
          <w:sz w:val="16"/>
          <w:szCs w:val="16"/>
          <w:rtl/>
        </w:rPr>
        <w:instrText>"</w:instrText>
      </w:r>
      <w:r>
        <w:rPr>
          <w:rFonts w:ascii="Times New Roman" w:eastAsia="Times New Roman" w:hAnsi="Times New Roman" w:cs="David"/>
          <w:sz w:val="16"/>
          <w:szCs w:val="16"/>
          <w:rtl/>
        </w:rPr>
        <w:instrText xml:space="preserve"> </w:instrText>
      </w:r>
      <w:r>
        <w:rPr>
          <w:rFonts w:ascii="Times New Roman" w:eastAsia="Times New Roman" w:hAnsi="Times New Roman" w:cs="David"/>
          <w:sz w:val="16"/>
          <w:szCs w:val="16"/>
          <w:rtl/>
        </w:rPr>
        <w:fldChar w:fldCharType="separate"/>
      </w:r>
      <w:r w:rsidR="00755F0C">
        <w:rPr>
          <w:rFonts w:ascii="Times New Roman" w:eastAsia="Times New Roman" w:hAnsi="Times New Roman" w:cs="David"/>
          <w:noProof/>
          <w:sz w:val="16"/>
          <w:szCs w:val="16"/>
          <w:rtl/>
        </w:rPr>
        <w:t>‏29 אוקטובר 2024</w:t>
      </w:r>
      <w:r>
        <w:rPr>
          <w:rFonts w:ascii="Times New Roman" w:eastAsia="Times New Roman" w:hAnsi="Times New Roman" w:cs="David"/>
          <w:sz w:val="16"/>
          <w:szCs w:val="16"/>
          <w:rtl/>
        </w:rPr>
        <w:fldChar w:fldCharType="end"/>
      </w:r>
    </w:p>
    <w:p w:rsidR="002D3B28" w:rsidRDefault="002D3B28" w:rsidP="00C343CB">
      <w:pPr>
        <w:spacing w:after="0" w:line="240" w:lineRule="auto"/>
        <w:jc w:val="right"/>
        <w:rPr>
          <w:rFonts w:ascii="Times New Roman" w:eastAsia="Times New Roman" w:hAnsi="Times New Roman" w:cs="David"/>
          <w:sz w:val="16"/>
          <w:szCs w:val="16"/>
          <w:rtl/>
        </w:rPr>
      </w:pPr>
      <w:r>
        <w:rPr>
          <w:rFonts w:ascii="Times New Roman" w:eastAsia="Times New Roman" w:hAnsi="Times New Roman" w:cs="David"/>
          <w:sz w:val="16"/>
          <w:szCs w:val="16"/>
          <w:rtl/>
        </w:rPr>
        <w:fldChar w:fldCharType="begin"/>
      </w:r>
      <w:r>
        <w:rPr>
          <w:rFonts w:ascii="Times New Roman" w:eastAsia="Times New Roman" w:hAnsi="Times New Roman" w:cs="David"/>
          <w:sz w:val="16"/>
          <w:szCs w:val="16"/>
          <w:rtl/>
        </w:rPr>
        <w:instrText xml:space="preserve"> </w:instrText>
      </w:r>
      <w:r>
        <w:rPr>
          <w:rFonts w:ascii="Times New Roman" w:eastAsia="Times New Roman" w:hAnsi="Times New Roman" w:cs="David" w:hint="cs"/>
          <w:sz w:val="16"/>
          <w:szCs w:val="16"/>
        </w:rPr>
        <w:instrText>DATE</w:instrText>
      </w:r>
      <w:r>
        <w:rPr>
          <w:rFonts w:ascii="Times New Roman" w:eastAsia="Times New Roman" w:hAnsi="Times New Roman" w:cs="David" w:hint="cs"/>
          <w:sz w:val="16"/>
          <w:szCs w:val="16"/>
          <w:rtl/>
        </w:rPr>
        <w:instrText xml:space="preserve"> \@ "</w:instrText>
      </w:r>
      <w:r>
        <w:rPr>
          <w:rFonts w:ascii="Times New Roman" w:eastAsia="Times New Roman" w:hAnsi="Times New Roman" w:cs="David" w:hint="cs"/>
          <w:sz w:val="16"/>
          <w:szCs w:val="16"/>
        </w:rPr>
        <w:instrText>dd MMMM yyyy" \h</w:instrText>
      </w:r>
      <w:r>
        <w:rPr>
          <w:rFonts w:ascii="Times New Roman" w:eastAsia="Times New Roman" w:hAnsi="Times New Roman" w:cs="David"/>
          <w:sz w:val="16"/>
          <w:szCs w:val="16"/>
          <w:rtl/>
        </w:rPr>
        <w:instrText xml:space="preserve"> </w:instrText>
      </w:r>
      <w:r>
        <w:rPr>
          <w:rFonts w:ascii="Times New Roman" w:eastAsia="Times New Roman" w:hAnsi="Times New Roman" w:cs="David"/>
          <w:sz w:val="16"/>
          <w:szCs w:val="16"/>
          <w:rtl/>
        </w:rPr>
        <w:fldChar w:fldCharType="separate"/>
      </w:r>
      <w:r w:rsidR="00755F0C">
        <w:rPr>
          <w:rFonts w:ascii="Times New Roman" w:eastAsia="Times New Roman" w:hAnsi="Times New Roman" w:cs="David"/>
          <w:noProof/>
          <w:sz w:val="16"/>
          <w:szCs w:val="16"/>
          <w:rtl/>
        </w:rPr>
        <w:t>‏כ"ז תשרי תשפ"ה</w:t>
      </w:r>
      <w:r>
        <w:rPr>
          <w:rFonts w:ascii="Times New Roman" w:eastAsia="Times New Roman" w:hAnsi="Times New Roman" w:cs="David"/>
          <w:sz w:val="16"/>
          <w:szCs w:val="16"/>
          <w:rtl/>
        </w:rPr>
        <w:fldChar w:fldCharType="end"/>
      </w:r>
    </w:p>
    <w:p w:rsidR="00515986" w:rsidRPr="00C343CB" w:rsidRDefault="00983123" w:rsidP="00C343CB">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4700-1039-2024-007610</w:t>
      </w:r>
      <w:r w:rsidRPr="00832AD7">
        <w:rPr>
          <w:rFonts w:ascii="Times New Roman" w:eastAsia="Times New Roman" w:hAnsi="Times New Roman" w:cs="David" w:hint="cs"/>
          <w:sz w:val="16"/>
          <w:szCs w:val="16"/>
          <w:rtl/>
        </w:rPr>
        <w:fldChar w:fldCharType="end"/>
      </w: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EA6DF3" w:rsidRPr="000071E5" w:rsidRDefault="00EA6DF3" w:rsidP="00C343CB">
      <w:pPr>
        <w:spacing w:after="120" w:line="360" w:lineRule="auto"/>
        <w:jc w:val="center"/>
        <w:rPr>
          <w:rFonts w:ascii="FrankRuehl" w:hAnsi="FrankRuehl" w:cs="FrankRuehl"/>
          <w:b/>
          <w:bCs/>
          <w:color w:val="002060"/>
          <w:sz w:val="32"/>
          <w:szCs w:val="32"/>
          <w:u w:val="single"/>
          <w:rtl/>
        </w:rPr>
      </w:pPr>
      <w:r w:rsidRPr="000071E5">
        <w:rPr>
          <w:rFonts w:ascii="FrankRuehl" w:hAnsi="FrankRuehl" w:cs="FrankRuehl"/>
          <w:b/>
          <w:bCs/>
          <w:color w:val="002060"/>
          <w:sz w:val="32"/>
          <w:szCs w:val="32"/>
          <w:u w:val="single"/>
          <w:rtl/>
        </w:rPr>
        <w:t xml:space="preserve">תקציר </w:t>
      </w:r>
      <w:r w:rsidRPr="000071E5">
        <w:rPr>
          <w:rFonts w:ascii="FrankRuehl" w:hAnsi="FrankRuehl" w:cs="FrankRuehl" w:hint="cs"/>
          <w:b/>
          <w:bCs/>
          <w:color w:val="002060"/>
          <w:sz w:val="32"/>
          <w:szCs w:val="32"/>
          <w:u w:val="single"/>
          <w:rtl/>
        </w:rPr>
        <w:t>הכרעת-די</w:t>
      </w:r>
      <w:r w:rsidR="00C343CB">
        <w:rPr>
          <w:rFonts w:ascii="FrankRuehl" w:hAnsi="FrankRuehl" w:cs="FrankRuehl" w:hint="cs"/>
          <w:b/>
          <w:bCs/>
          <w:color w:val="002060"/>
          <w:sz w:val="32"/>
          <w:szCs w:val="32"/>
          <w:u w:val="single"/>
          <w:rtl/>
        </w:rPr>
        <w:t xml:space="preserve">ן </w:t>
      </w:r>
    </w:p>
    <w:p w:rsidR="00C343CB" w:rsidRDefault="00C343CB" w:rsidP="00EA6DF3">
      <w:pPr>
        <w:spacing w:after="120"/>
        <w:jc w:val="center"/>
        <w:rPr>
          <w:rFonts w:ascii="FrankRuehl" w:hAnsi="FrankRuehl" w:cs="FrankRuehl"/>
          <w:b/>
          <w:bCs/>
          <w:color w:val="002060"/>
          <w:sz w:val="32"/>
          <w:szCs w:val="32"/>
          <w:rtl/>
        </w:rPr>
      </w:pPr>
      <w:r w:rsidRPr="00C343CB">
        <w:rPr>
          <w:rFonts w:ascii="FrankRuehl" w:hAnsi="FrankRuehl" w:cs="FrankRuehl"/>
          <w:b/>
          <w:bCs/>
          <w:color w:val="002060"/>
          <w:sz w:val="32"/>
          <w:szCs w:val="32"/>
          <w:rtl/>
        </w:rPr>
        <w:t>תפ 62398-02-22</w:t>
      </w:r>
      <w:r>
        <w:rPr>
          <w:rFonts w:ascii="FrankRuehl" w:hAnsi="FrankRuehl" w:cs="FrankRuehl" w:hint="cs"/>
          <w:b/>
          <w:bCs/>
          <w:color w:val="002060"/>
          <w:sz w:val="32"/>
          <w:szCs w:val="32"/>
          <w:rtl/>
        </w:rPr>
        <w:t xml:space="preserve"> - </w:t>
      </w:r>
      <w:sdt>
        <w:sdtPr>
          <w:rPr>
            <w:rFonts w:ascii="FrankRuehl" w:hAnsi="FrankRuehl" w:cs="FrankRuehl"/>
            <w:b/>
            <w:bCs/>
            <w:color w:val="002060"/>
            <w:sz w:val="32"/>
            <w:szCs w:val="32"/>
            <w:rtl/>
          </w:rPr>
          <w:alias w:val="293"/>
          <w:tag w:val="293"/>
          <w:id w:val="60302884"/>
          <w:text w:multiLine="1"/>
        </w:sdtPr>
        <w:sdtEndPr/>
        <w:sdtContent>
          <w:r w:rsidRPr="00C343CB">
            <w:rPr>
              <w:rFonts w:ascii="FrankRuehl" w:hAnsi="FrankRuehl" w:cs="FrankRuehl"/>
              <w:b/>
              <w:bCs/>
              <w:color w:val="002060"/>
              <w:sz w:val="32"/>
              <w:szCs w:val="32"/>
              <w:rtl/>
            </w:rPr>
            <w:t>מדינת ישראל נ' לייבוביץ(עציר) ואח'</w:t>
          </w:r>
        </w:sdtContent>
      </w:sdt>
    </w:p>
    <w:p w:rsidR="00EA6DF3" w:rsidRDefault="00EA6DF3" w:rsidP="00C343CB">
      <w:pPr>
        <w:spacing w:after="120"/>
        <w:jc w:val="center"/>
        <w:rPr>
          <w:rFonts w:ascii="FrankRuehl" w:hAnsi="FrankRuehl" w:cs="FrankRuehl"/>
          <w:b/>
          <w:bCs/>
          <w:color w:val="002060"/>
          <w:sz w:val="32"/>
          <w:szCs w:val="32"/>
          <w:rtl/>
        </w:rPr>
      </w:pPr>
      <w:r w:rsidRPr="000071E5">
        <w:rPr>
          <w:rFonts w:ascii="FrankRuehl" w:hAnsi="FrankRuehl" w:cs="FrankRuehl"/>
          <w:b/>
          <w:bCs/>
          <w:color w:val="002060"/>
          <w:sz w:val="32"/>
          <w:szCs w:val="32"/>
          <w:rtl/>
        </w:rPr>
        <w:t xml:space="preserve">כבוד השופטת </w:t>
      </w:r>
      <w:r w:rsidR="00C343CB">
        <w:rPr>
          <w:rFonts w:ascii="FrankRuehl" w:hAnsi="FrankRuehl" w:cs="FrankRuehl" w:hint="cs"/>
          <w:b/>
          <w:bCs/>
          <w:color w:val="002060"/>
          <w:sz w:val="32"/>
          <w:szCs w:val="32"/>
          <w:rtl/>
        </w:rPr>
        <w:t>דנה מרשק מרום</w:t>
      </w:r>
    </w:p>
    <w:p w:rsidR="00C343CB" w:rsidRPr="000071E5" w:rsidRDefault="00C343CB" w:rsidP="00C343CB">
      <w:pPr>
        <w:spacing w:after="120"/>
        <w:jc w:val="center"/>
        <w:rPr>
          <w:rFonts w:ascii="FrankRuehl" w:hAnsi="FrankRuehl" w:cs="FrankRuehl"/>
          <w:b/>
          <w:bCs/>
          <w:color w:val="002060"/>
          <w:sz w:val="32"/>
          <w:szCs w:val="32"/>
          <w:rtl/>
        </w:rPr>
      </w:pPr>
    </w:p>
    <w:p w:rsidR="00C343CB" w:rsidRPr="00C343CB" w:rsidRDefault="00C343CB" w:rsidP="00C343CB">
      <w:pPr>
        <w:spacing w:after="0" w:line="360" w:lineRule="auto"/>
        <w:jc w:val="both"/>
        <w:rPr>
          <w:rFonts w:ascii="David" w:eastAsia="Times New Roman" w:hAnsi="David" w:cs="David"/>
          <w:sz w:val="24"/>
          <w:szCs w:val="24"/>
          <w:rtl/>
        </w:rPr>
      </w:pPr>
      <w:r w:rsidRPr="00C343CB">
        <w:rPr>
          <w:rFonts w:ascii="David" w:eastAsia="Times New Roman" w:hAnsi="David" w:cs="David"/>
          <w:sz w:val="24"/>
          <w:szCs w:val="24"/>
          <w:rtl/>
        </w:rPr>
        <w:t xml:space="preserve">אירועי אלימות רבים, קשים וחמורים התרחשו בגן פרטי שהיה בניהולה ובבעלותה של הנאשמת 2, כאשר בתה הנאשמת 1 עבדה בגן. </w:t>
      </w:r>
    </w:p>
    <w:p w:rsidR="00C343CB" w:rsidRDefault="00C343CB" w:rsidP="00C343CB">
      <w:pPr>
        <w:spacing w:after="0" w:line="360" w:lineRule="auto"/>
        <w:jc w:val="both"/>
        <w:rPr>
          <w:rFonts w:ascii="David" w:hAnsi="David" w:cs="David"/>
          <w:sz w:val="24"/>
          <w:szCs w:val="24"/>
          <w:rtl/>
        </w:rPr>
      </w:pPr>
      <w:r w:rsidRPr="00C343CB">
        <w:rPr>
          <w:rFonts w:ascii="David" w:eastAsia="Times New Roman" w:hAnsi="David" w:cs="David"/>
          <w:sz w:val="24"/>
          <w:szCs w:val="24"/>
          <w:rtl/>
        </w:rPr>
        <w:t xml:space="preserve">כתב האישום הכולל שלושה-עשר אישומים, מייחס לנאשמות ביצוע עבירות רבות במהלך מעל ל – 200 אירועים של התעללות בקטינים על-ידי אחראי, תקיפת הקטינים על-ידי אחראי שגרמו לחבלות של ממש ותקיפה, כלפי 12 פעוטות בני שנה עד שלוש שנים בתקופה של כחודשיים בחורף 2021. </w:t>
      </w:r>
      <w:r w:rsidRPr="00C343CB">
        <w:rPr>
          <w:rFonts w:ascii="David" w:hAnsi="David" w:cs="David"/>
          <w:sz w:val="24"/>
          <w:szCs w:val="24"/>
          <w:rtl/>
        </w:rPr>
        <w:t xml:space="preserve">הנאשמות הורשעו ברוב </w:t>
      </w:r>
      <w:r w:rsidRPr="00C343CB">
        <w:rPr>
          <w:rFonts w:ascii="David" w:hAnsi="David" w:cs="David"/>
          <w:sz w:val="24"/>
          <w:szCs w:val="24"/>
          <w:rtl/>
        </w:rPr>
        <w:lastRenderedPageBreak/>
        <w:t xml:space="preserve">העבירות שיוחסו להן, בעיקר על בסיס צפייה בכל האירועים שתועדו בסרטונים, ובהתאם לניתוח משפטי. </w:t>
      </w:r>
    </w:p>
    <w:p w:rsidR="00C343CB" w:rsidRDefault="00C343CB" w:rsidP="00C343CB">
      <w:pPr>
        <w:spacing w:after="0" w:line="360" w:lineRule="auto"/>
        <w:jc w:val="both"/>
        <w:rPr>
          <w:rFonts w:ascii="David" w:hAnsi="David" w:cs="David"/>
          <w:sz w:val="24"/>
          <w:szCs w:val="24"/>
          <w:rtl/>
        </w:rPr>
      </w:pPr>
      <w:r w:rsidRPr="00C343CB">
        <w:rPr>
          <w:rFonts w:ascii="David" w:hAnsi="David" w:cs="David"/>
          <w:sz w:val="24"/>
          <w:szCs w:val="24"/>
          <w:rtl/>
        </w:rPr>
        <w:t xml:space="preserve">במרבית האישומים הורשעו הנאשמות, בנוסף על עבירות אלימות שיוחסו להן בכל אירוע, גם בעבירות של התעללות בגין צבר מקרי התקיפה באותו אישום כלפי כל פעוט וכן בעבירות התעללות בגין מספר אירועים חריגים. </w:t>
      </w:r>
    </w:p>
    <w:p w:rsidR="00C343CB" w:rsidRDefault="00C343CB" w:rsidP="00275C24">
      <w:pPr>
        <w:spacing w:after="0" w:line="360" w:lineRule="auto"/>
        <w:jc w:val="both"/>
        <w:rPr>
          <w:rFonts w:ascii="David" w:hAnsi="David" w:cs="David"/>
          <w:sz w:val="24"/>
          <w:szCs w:val="24"/>
          <w:rtl/>
        </w:rPr>
      </w:pPr>
      <w:r w:rsidRPr="00C343CB">
        <w:rPr>
          <w:rFonts w:ascii="David" w:hAnsi="David" w:cs="David"/>
          <w:sz w:val="24"/>
          <w:szCs w:val="24"/>
          <w:rtl/>
        </w:rPr>
        <w:t>בית-המשפט הכיר גם באפשרות להרשיע בהתעללות נפשית בעניינם של פעוטות אשר צפו באלימות</w:t>
      </w:r>
      <w:r>
        <w:rPr>
          <w:rFonts w:ascii="David" w:hAnsi="David" w:cs="David" w:hint="cs"/>
          <w:sz w:val="24"/>
          <w:szCs w:val="24"/>
          <w:rtl/>
        </w:rPr>
        <w:t>,</w:t>
      </w:r>
      <w:r w:rsidRPr="00C343CB">
        <w:rPr>
          <w:rFonts w:ascii="David" w:hAnsi="David" w:cs="David"/>
          <w:sz w:val="24"/>
          <w:szCs w:val="24"/>
          <w:rtl/>
        </w:rPr>
        <w:t xml:space="preserve"> מבלי שזו הי</w:t>
      </w:r>
      <w:r>
        <w:rPr>
          <w:rFonts w:ascii="David" w:hAnsi="David" w:cs="David" w:hint="cs"/>
          <w:sz w:val="24"/>
          <w:szCs w:val="24"/>
          <w:rtl/>
        </w:rPr>
        <w:t>י</w:t>
      </w:r>
      <w:r w:rsidRPr="00C343CB">
        <w:rPr>
          <w:rFonts w:ascii="David" w:hAnsi="David" w:cs="David"/>
          <w:sz w:val="24"/>
          <w:szCs w:val="24"/>
          <w:rtl/>
        </w:rPr>
        <w:t xml:space="preserve">תה מופנית כלפיהם באופן ישיר, אך במקרה דנן לא הרשיע בשל </w:t>
      </w:r>
      <w:r w:rsidR="00275C24">
        <w:rPr>
          <w:rFonts w:ascii="David" w:hAnsi="David" w:cs="David" w:hint="cs"/>
          <w:sz w:val="24"/>
          <w:szCs w:val="24"/>
          <w:rtl/>
        </w:rPr>
        <w:t>עמימות ראייתית</w:t>
      </w:r>
      <w:r w:rsidRPr="00C343CB">
        <w:rPr>
          <w:rFonts w:ascii="David" w:hAnsi="David" w:cs="David"/>
          <w:sz w:val="24"/>
          <w:szCs w:val="24"/>
          <w:rtl/>
        </w:rPr>
        <w:t>.</w:t>
      </w:r>
    </w:p>
    <w:p w:rsidR="00C343CB" w:rsidRPr="00C343CB" w:rsidRDefault="00C343CB" w:rsidP="00C343CB">
      <w:pPr>
        <w:spacing w:after="0" w:line="360" w:lineRule="auto"/>
        <w:jc w:val="both"/>
        <w:rPr>
          <w:rFonts w:ascii="David" w:hAnsi="David" w:cs="David"/>
          <w:sz w:val="24"/>
          <w:szCs w:val="24"/>
        </w:rPr>
      </w:pPr>
    </w:p>
    <w:p w:rsidR="00C343CB" w:rsidRPr="00C343CB" w:rsidRDefault="00C343CB" w:rsidP="00C343CB">
      <w:pPr>
        <w:spacing w:after="0" w:line="360" w:lineRule="auto"/>
        <w:jc w:val="both"/>
        <w:rPr>
          <w:rFonts w:ascii="David" w:hAnsi="David" w:cs="David"/>
          <w:sz w:val="24"/>
          <w:szCs w:val="24"/>
          <w:rtl/>
        </w:rPr>
      </w:pPr>
      <w:r w:rsidRPr="00C343CB">
        <w:rPr>
          <w:rFonts w:ascii="David" w:hAnsi="David" w:cs="David"/>
          <w:sz w:val="24"/>
          <w:szCs w:val="24"/>
          <w:rtl/>
        </w:rPr>
        <w:t xml:space="preserve">נקבע המשך דיון לשמיעת הטיעונים לעונש ובהמשך לגזירת הדין. </w:t>
      </w:r>
    </w:p>
    <w:p w:rsidR="00EA6DF3" w:rsidRPr="00C343CB" w:rsidRDefault="00EA6DF3" w:rsidP="00C343CB">
      <w:pPr>
        <w:spacing w:after="0" w:line="360" w:lineRule="auto"/>
        <w:jc w:val="both"/>
        <w:rPr>
          <w:rFonts w:ascii="FrankRuehl" w:hAnsi="FrankRuehl" w:cs="FrankRuehl"/>
          <w:sz w:val="26"/>
          <w:szCs w:val="26"/>
          <w:rtl/>
        </w:rPr>
      </w:pPr>
    </w:p>
    <w:p w:rsidR="00EA6DF3" w:rsidRPr="00C343CB" w:rsidRDefault="00EA6DF3" w:rsidP="00C343CB">
      <w:pPr>
        <w:spacing w:after="0" w:line="360" w:lineRule="auto"/>
        <w:jc w:val="both"/>
        <w:rPr>
          <w:rFonts w:ascii="FrankRuehl" w:hAnsi="FrankRuehl" w:cs="FrankRuehl"/>
          <w:sz w:val="26"/>
          <w:szCs w:val="26"/>
          <w:rtl/>
        </w:rPr>
      </w:pPr>
    </w:p>
    <w:p w:rsidR="00EA6DF3" w:rsidRDefault="00EA6DF3" w:rsidP="00EA6DF3">
      <w:pPr>
        <w:spacing w:after="120" w:line="360" w:lineRule="auto"/>
        <w:jc w:val="both"/>
        <w:rPr>
          <w:rFonts w:ascii="FrankRuehl" w:hAnsi="FrankRuehl" w:cs="FrankRuehl"/>
          <w:color w:val="323E4F" w:themeColor="text2" w:themeShade="BF"/>
          <w:sz w:val="26"/>
          <w:szCs w:val="26"/>
        </w:rPr>
      </w:pPr>
    </w:p>
    <w:p w:rsidR="00EA6DF3" w:rsidRDefault="00EA6DF3" w:rsidP="00EA6DF3">
      <w:pPr>
        <w:spacing w:after="120" w:line="360" w:lineRule="auto"/>
        <w:jc w:val="both"/>
        <w:rPr>
          <w:rFonts w:ascii="FrankRuehl" w:hAnsi="FrankRuehl" w:cs="FrankRuehl"/>
          <w:color w:val="323E4F" w:themeColor="text2" w:themeShade="BF"/>
          <w:sz w:val="26"/>
          <w:szCs w:val="26"/>
          <w:rtl/>
        </w:rPr>
      </w:pPr>
    </w:p>
    <w:p w:rsidR="00EA6DF3" w:rsidRPr="000071E5" w:rsidRDefault="00EA6DF3" w:rsidP="00EA6DF3">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lastRenderedPageBreak/>
        <w:t xml:space="preserve">*** </w:t>
      </w:r>
      <w:r w:rsidRPr="000071E5">
        <w:rPr>
          <w:rFonts w:ascii="FrankRuehl" w:hAnsi="FrankRuehl" w:cs="FrankRuehl"/>
          <w:b/>
          <w:bCs/>
          <w:color w:val="002060"/>
          <w:sz w:val="26"/>
          <w:szCs w:val="26"/>
          <w:rtl/>
        </w:rPr>
        <w:t xml:space="preserve">התקציר אינו בא </w:t>
      </w:r>
      <w:r w:rsidR="00C343CB">
        <w:rPr>
          <w:rFonts w:ascii="FrankRuehl" w:hAnsi="FrankRuehl" w:cs="FrankRuehl"/>
          <w:b/>
          <w:bCs/>
          <w:color w:val="002060"/>
          <w:sz w:val="26"/>
          <w:szCs w:val="26"/>
          <w:rtl/>
        </w:rPr>
        <w:t xml:space="preserve">להחליף את </w:t>
      </w:r>
      <w:r w:rsidR="00C343CB">
        <w:rPr>
          <w:rFonts w:ascii="FrankRuehl" w:hAnsi="FrankRuehl" w:cs="FrankRuehl" w:hint="cs"/>
          <w:b/>
          <w:bCs/>
          <w:color w:val="002060"/>
          <w:sz w:val="26"/>
          <w:szCs w:val="26"/>
          <w:rtl/>
        </w:rPr>
        <w:t>הכרעת</w:t>
      </w:r>
      <w:r w:rsidRPr="000071E5">
        <w:rPr>
          <w:rFonts w:ascii="FrankRuehl" w:hAnsi="FrankRuehl" w:cs="FrankRuehl" w:hint="cs"/>
          <w:b/>
          <w:bCs/>
          <w:color w:val="002060"/>
          <w:sz w:val="26"/>
          <w:szCs w:val="26"/>
          <w:rtl/>
        </w:rPr>
        <w:t>-</w:t>
      </w:r>
      <w:r w:rsidR="00C343CB">
        <w:rPr>
          <w:rFonts w:ascii="FrankRuehl" w:hAnsi="FrankRuehl" w:cs="FrankRuehl"/>
          <w:b/>
          <w:bCs/>
          <w:color w:val="002060"/>
          <w:sz w:val="26"/>
          <w:szCs w:val="26"/>
          <w:rtl/>
        </w:rPr>
        <w:t xml:space="preserve">הדין, הנוסח המחייב הוא זה של </w:t>
      </w:r>
      <w:r w:rsidR="00C343CB">
        <w:rPr>
          <w:rFonts w:ascii="FrankRuehl" w:hAnsi="FrankRuehl" w:cs="FrankRuehl" w:hint="cs"/>
          <w:b/>
          <w:bCs/>
          <w:color w:val="002060"/>
          <w:sz w:val="26"/>
          <w:szCs w:val="26"/>
          <w:rtl/>
        </w:rPr>
        <w:t>הכרעת</w:t>
      </w:r>
      <w:r w:rsidRPr="000071E5">
        <w:rPr>
          <w:rFonts w:ascii="FrankRuehl" w:hAnsi="FrankRuehl" w:cs="FrankRuehl"/>
          <w:b/>
          <w:bCs/>
          <w:color w:val="002060"/>
          <w:sz w:val="26"/>
          <w:szCs w:val="26"/>
          <w:rtl/>
        </w:rPr>
        <w:t>-הדין המלא</w:t>
      </w:r>
      <w:r w:rsidR="00C343CB">
        <w:rPr>
          <w:rFonts w:ascii="FrankRuehl" w:hAnsi="FrankRuehl" w:cs="FrankRuehl" w:hint="cs"/>
          <w:b/>
          <w:bCs/>
          <w:color w:val="002060"/>
          <w:sz w:val="26"/>
          <w:szCs w:val="26"/>
          <w:rtl/>
        </w:rPr>
        <w:t>ה</w:t>
      </w:r>
      <w:r w:rsidRPr="000071E5">
        <w:rPr>
          <w:rFonts w:ascii="FrankRuehl" w:hAnsi="FrankRuehl" w:cs="FrankRuehl" w:hint="cs"/>
          <w:b/>
          <w:bCs/>
          <w:color w:val="002060"/>
          <w:sz w:val="26"/>
          <w:szCs w:val="26"/>
          <w:rtl/>
        </w:rPr>
        <w:t xml:space="preserve"> ***</w:t>
      </w:r>
    </w:p>
    <w:p w:rsidR="00515986" w:rsidRPr="00EA6DF3"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EC5" w:rsidRDefault="009C0EC5" w:rsidP="00730CA1">
      <w:pPr>
        <w:spacing w:after="0" w:line="240" w:lineRule="auto"/>
      </w:pPr>
      <w:r>
        <w:separator/>
      </w:r>
    </w:p>
  </w:endnote>
  <w:endnote w:type="continuationSeparator" w:id="0">
    <w:p w:rsidR="009C0EC5" w:rsidRDefault="009C0EC5"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בית משפט העליון | דרך השופט מאיר שמגר 1 | קרית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EC5" w:rsidRDefault="009C0EC5" w:rsidP="00730CA1">
      <w:pPr>
        <w:spacing w:after="0" w:line="240" w:lineRule="auto"/>
      </w:pPr>
      <w:r>
        <w:separator/>
      </w:r>
    </w:p>
  </w:footnote>
  <w:footnote w:type="continuationSeparator" w:id="0">
    <w:p w:rsidR="009C0EC5" w:rsidRDefault="009C0EC5"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0D2FAC"/>
    <w:rsid w:val="001D42A7"/>
    <w:rsid w:val="002453CF"/>
    <w:rsid w:val="00275C24"/>
    <w:rsid w:val="002C0E83"/>
    <w:rsid w:val="002D3B28"/>
    <w:rsid w:val="003921C3"/>
    <w:rsid w:val="003A639C"/>
    <w:rsid w:val="003C61AF"/>
    <w:rsid w:val="003E6E39"/>
    <w:rsid w:val="003E7EB7"/>
    <w:rsid w:val="00426AA7"/>
    <w:rsid w:val="00515986"/>
    <w:rsid w:val="005253B2"/>
    <w:rsid w:val="00541C9E"/>
    <w:rsid w:val="00631744"/>
    <w:rsid w:val="00690B6F"/>
    <w:rsid w:val="006B7B96"/>
    <w:rsid w:val="006C3B1F"/>
    <w:rsid w:val="006F1E1F"/>
    <w:rsid w:val="007007D7"/>
    <w:rsid w:val="00711675"/>
    <w:rsid w:val="00730CA1"/>
    <w:rsid w:val="00755F0C"/>
    <w:rsid w:val="00773FA2"/>
    <w:rsid w:val="007B7899"/>
    <w:rsid w:val="007E62D1"/>
    <w:rsid w:val="00832AD7"/>
    <w:rsid w:val="008C02E0"/>
    <w:rsid w:val="00983123"/>
    <w:rsid w:val="009C0EC5"/>
    <w:rsid w:val="009E5C0E"/>
    <w:rsid w:val="00AD7644"/>
    <w:rsid w:val="00B16422"/>
    <w:rsid w:val="00B22AFC"/>
    <w:rsid w:val="00BA3143"/>
    <w:rsid w:val="00C22E08"/>
    <w:rsid w:val="00C343CB"/>
    <w:rsid w:val="00C37F37"/>
    <w:rsid w:val="00C50C55"/>
    <w:rsid w:val="00C529CC"/>
    <w:rsid w:val="00C842A7"/>
    <w:rsid w:val="00C85A27"/>
    <w:rsid w:val="00CA2D6A"/>
    <w:rsid w:val="00CB4940"/>
    <w:rsid w:val="00CD280B"/>
    <w:rsid w:val="00D11F77"/>
    <w:rsid w:val="00D205AB"/>
    <w:rsid w:val="00D43C0E"/>
    <w:rsid w:val="00D5319F"/>
    <w:rsid w:val="00E35DF3"/>
    <w:rsid w:val="00EA6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724110381">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20B183C0-62EC-478E-A41E-E7D925385FBE}">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216</Words>
  <Characters>1084</Characters>
  <Application>Microsoft Office Word</Application>
  <DocSecurity>0</DocSecurity>
  <Lines>9</Lines>
  <Paragraphs>2</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גרמאו מנגיסטו</cp:lastModifiedBy>
  <cp:revision>2</cp:revision>
  <cp:lastPrinted>2017-11-13T12:38:00Z</cp:lastPrinted>
  <dcterms:created xsi:type="dcterms:W3CDTF">2024-10-29T10:48:00Z</dcterms:created>
  <dcterms:modified xsi:type="dcterms:W3CDTF">2024-10-29T10:48:00Z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13 באוקטובר 2024</vt:lpwstr>
  </property>
  <property fmtid="{D5CDD505-2E9C-101B-9397-08002B2CF9AE}" pid="3" name="DocDateHeb">
    <vt:lpwstr>י"א בתשרי תשפ"ה</vt:lpwstr>
  </property>
  <property fmtid="{D5CDD505-2E9C-101B-9397-08002B2CF9AE}" pid="4" name="DocNumber">
    <vt:lpwstr>4700-1039-2024-007610</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הכרעת דין ת"פ 62398-02-22</vt:lpwstr>
  </property>
</Properties>
</file>